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D05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F5C59" w:rsidRPr="008A25A5" w:rsidRDefault="00443C46" w:rsidP="00443C46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 w:rsidRPr="00443C46">
        <w:rPr>
          <w:rFonts w:ascii="Barlow Medium" w:hAnsi="Barlow Medium"/>
          <w14:ligatures w14:val="none"/>
        </w:rPr>
        <w:t>Awestruck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60022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</w:t>
      </w:r>
      <w:r w:rsidR="00BF1111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November 28th</w:t>
      </w:r>
      <w:r w:rsidR="00E64CD9">
        <w:rPr>
          <w:rFonts w:ascii="Barlow Medium" w:hAnsi="Barlow Medium"/>
          <w:i/>
          <w14:ligatures w14:val="none"/>
        </w:rPr>
        <w:t xml:space="preserve">   </w:t>
      </w:r>
      <w:r w:rsidRPr="00443C46">
        <w:rPr>
          <w:rFonts w:ascii="Barlow Medium" w:hAnsi="Barlow Medium"/>
          <w:i/>
          <w14:ligatures w14:val="none"/>
        </w:rPr>
        <w:t>Set the Stage for a Miracle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 </w:t>
      </w:r>
      <w:r w:rsidR="00EC039D">
        <w:rPr>
          <w:rFonts w:ascii="Barlow Medium" w:hAnsi="Barlow Medium"/>
          <w:i/>
          <w14:ligatures w14:val="none"/>
        </w:rPr>
        <w:t xml:space="preserve">                   </w:t>
      </w:r>
      <w:r w:rsidR="009B35EA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>Rev. Kyle Gatlin</w:t>
      </w:r>
    </w:p>
    <w:p w:rsidR="00443C46" w:rsidRDefault="00044E8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443C46" w:rsidRDefault="00443C46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8"/>
          <w:szCs w:val="16"/>
          <w14:ligatures w14:val="none"/>
        </w:rPr>
      </w:pPr>
    </w:p>
    <w:p w:rsidR="0062339E" w:rsidRPr="0062339E" w:rsidRDefault="0062339E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8"/>
          <w:szCs w:val="16"/>
          <w14:ligatures w14:val="none"/>
        </w:rPr>
      </w:pPr>
    </w:p>
    <w:p w:rsidR="00DD7919" w:rsidRPr="00443C46" w:rsidRDefault="00980766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Awe is the feeling that comes when we’re in the presence of something so vast or profound that it transcends</w:t>
      </w:r>
      <w:r w:rsidR="00EC039D"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 our understanding of the world</w:t>
      </w:r>
    </w:p>
    <w:p w:rsidR="00443C46" w:rsidRPr="0062339E" w:rsidRDefault="00443C46" w:rsidP="00443C46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It forces us to change our assumptions and </w:t>
      </w:r>
      <w:r w:rsidR="00EC039D"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accommodate the new information</w:t>
      </w:r>
    </w:p>
    <w:p w:rsidR="009B35EA" w:rsidRPr="0062339E" w:rsidRDefault="009B35EA" w:rsidP="0062339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9B35EA" w:rsidRPr="0062339E" w:rsidRDefault="00443C46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Awestruck</w:t>
      </w:r>
    </w:p>
    <w:p w:rsidR="009B35EA" w:rsidRPr="0062339E" w:rsidRDefault="009B35EA" w:rsidP="00443C46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30"/>
          <w:szCs w:val="30"/>
          <w14:ligatures w14:val="none"/>
        </w:rPr>
      </w:pPr>
    </w:p>
    <w:p w:rsidR="00E32494" w:rsidRDefault="008023C0" w:rsidP="00443C46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Isaiah 7:13-17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Then Isaiah said, “Hear now, you house of David! Is it not enough to try the patience of humans? Will you try the patience of my God also?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14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Therefore </w:t>
      </w:r>
      <w:r w:rsidR="005A209D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 Lord himself will give you 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a sign: The virgin will conceive and give birth to a son, and will call him Immanuel.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15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He will be eating curds and honey when he knows enough to reject the wrong and choose the right,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16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for before the boy knows enough to reject the wrong and choose the right, the land of the two kings you dread will be laid waste.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17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The Lord will bring on you and on your people and on the house of your father </w:t>
      </w:r>
      <w:r w:rsidR="0062339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br/>
      </w:r>
      <w:bookmarkStart w:id="0" w:name="_GoBack"/>
      <w:bookmarkEnd w:id="0"/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 time unlike any since Ephraim broke away from Judah—he will bring the king of Assyria.”</w:t>
      </w:r>
    </w:p>
    <w:p w:rsidR="008023C0" w:rsidRPr="0062339E" w:rsidRDefault="008023C0" w:rsidP="00443C46">
      <w:pPr>
        <w:spacing w:after="0" w:line="300" w:lineRule="auto"/>
        <w:ind w:right="-274"/>
        <w:rPr>
          <w:rFonts w:ascii="Barlow Medium" w:hAnsi="Barlow Medium" w:cs="Tahoma"/>
          <w:b/>
          <w:bCs/>
          <w:sz w:val="30"/>
          <w:szCs w:val="30"/>
          <w14:ligatures w14:val="none"/>
        </w:rPr>
      </w:pP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“There are only two ways to live your life. One is as though nothing is a miracle. The other is as though everything is a miracle.” - Albert Einstein</w:t>
      </w:r>
    </w:p>
    <w:p w:rsidR="00443C46" w:rsidRPr="0062339E" w:rsidRDefault="00443C46" w:rsidP="0062339E">
      <w:pPr>
        <w:pStyle w:val="ListParagraph"/>
        <w:widowControl w:val="0"/>
        <w:tabs>
          <w:tab w:val="left" w:pos="270"/>
        </w:tabs>
        <w:spacing w:after="0" w:line="300" w:lineRule="auto"/>
        <w:ind w:left="-180"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“If a man will not believe God, he will believe anything.” - John Wesley</w:t>
      </w: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443C46" w:rsidRPr="0062339E" w:rsidRDefault="00EC039D" w:rsidP="0062339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God IS with us</w:t>
      </w:r>
    </w:p>
    <w:p w:rsidR="00443C46" w:rsidRPr="0062339E" w:rsidRDefault="00443C46" w:rsidP="0062339E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443C46" w:rsidRPr="0062339E" w:rsidRDefault="00443C46" w:rsidP="0062339E">
      <w:pPr>
        <w:widowControl w:val="0"/>
        <w:tabs>
          <w:tab w:val="left" w:pos="270"/>
        </w:tabs>
        <w:spacing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Awe forces us to change our assumptions and </w:t>
      </w:r>
      <w:r w:rsidR="00EC039D" w:rsidRPr="0062339E">
        <w:rPr>
          <w:rFonts w:ascii="Barlow Medium" w:hAnsi="Barlow Medium" w:cs="Tahoma"/>
          <w:b/>
          <w:bCs/>
          <w:sz w:val="24"/>
          <w:szCs w:val="24"/>
          <w14:ligatures w14:val="none"/>
        </w:rPr>
        <w:t>accommodate the new information</w:t>
      </w:r>
    </w:p>
    <w:p w:rsidR="00010D3C" w:rsidRPr="00010D3C" w:rsidRDefault="00010D3C" w:rsidP="00443C46">
      <w:pPr>
        <w:pStyle w:val="ListParagraph"/>
        <w:widowControl w:val="0"/>
        <w:tabs>
          <w:tab w:val="left" w:pos="270"/>
        </w:tabs>
        <w:spacing w:after="0" w:line="300" w:lineRule="auto"/>
        <w:ind w:left="-180"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DD7919" w:rsidRDefault="00E32494" w:rsidP="00DD7919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Isaiah 9:2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443C46" w:rsidRPr="00443C4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 people walking in darkness have seen a great light; on those living in the land of deep darkness a light has dawned.</w:t>
      </w: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894743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C1" w:rsidRDefault="003642C1" w:rsidP="005B64CD">
      <w:pPr>
        <w:spacing w:after="0" w:line="240" w:lineRule="auto"/>
      </w:pPr>
      <w:r>
        <w:separator/>
      </w:r>
    </w:p>
  </w:endnote>
  <w:endnote w:type="continuationSeparator" w:id="0">
    <w:p w:rsidR="003642C1" w:rsidRDefault="003642C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B76833" w:rsidRPr="00F72580" w:rsidRDefault="000C1C99" w:rsidP="00443C46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994543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NI, unless otherwise noted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C1" w:rsidRDefault="003642C1" w:rsidP="005B64CD">
      <w:pPr>
        <w:spacing w:after="0" w:line="240" w:lineRule="auto"/>
      </w:pPr>
      <w:r>
        <w:separator/>
      </w:r>
    </w:p>
  </w:footnote>
  <w:footnote w:type="continuationSeparator" w:id="0">
    <w:p w:rsidR="003642C1" w:rsidRDefault="003642C1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7C0"/>
    <w:rsid w:val="00010D3C"/>
    <w:rsid w:val="000372D4"/>
    <w:rsid w:val="0004107E"/>
    <w:rsid w:val="00044E81"/>
    <w:rsid w:val="0004617F"/>
    <w:rsid w:val="00055FB7"/>
    <w:rsid w:val="000648BF"/>
    <w:rsid w:val="00070D8A"/>
    <w:rsid w:val="00081474"/>
    <w:rsid w:val="0008557B"/>
    <w:rsid w:val="000A667E"/>
    <w:rsid w:val="000B1005"/>
    <w:rsid w:val="000C1C99"/>
    <w:rsid w:val="000C6807"/>
    <w:rsid w:val="000F26DA"/>
    <w:rsid w:val="00112AEC"/>
    <w:rsid w:val="001160C8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0822"/>
    <w:rsid w:val="0035161E"/>
    <w:rsid w:val="00353837"/>
    <w:rsid w:val="00354CAE"/>
    <w:rsid w:val="003642C1"/>
    <w:rsid w:val="00381EA7"/>
    <w:rsid w:val="0039568A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3C46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E4018"/>
    <w:rsid w:val="004E6BE0"/>
    <w:rsid w:val="004F6E7D"/>
    <w:rsid w:val="005009B1"/>
    <w:rsid w:val="00502541"/>
    <w:rsid w:val="00503C9A"/>
    <w:rsid w:val="00521B05"/>
    <w:rsid w:val="005351DF"/>
    <w:rsid w:val="005429A0"/>
    <w:rsid w:val="005667F3"/>
    <w:rsid w:val="005915DC"/>
    <w:rsid w:val="005A209D"/>
    <w:rsid w:val="005A5F40"/>
    <w:rsid w:val="005B64CD"/>
    <w:rsid w:val="005C3356"/>
    <w:rsid w:val="005F0390"/>
    <w:rsid w:val="0062339E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40034"/>
    <w:rsid w:val="00740C6B"/>
    <w:rsid w:val="007626FC"/>
    <w:rsid w:val="0077030A"/>
    <w:rsid w:val="007A14C1"/>
    <w:rsid w:val="007B4EF9"/>
    <w:rsid w:val="007C3B9C"/>
    <w:rsid w:val="007F4736"/>
    <w:rsid w:val="00800890"/>
    <w:rsid w:val="008023C0"/>
    <w:rsid w:val="00803F8F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B3FF3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60022"/>
    <w:rsid w:val="00980766"/>
    <w:rsid w:val="00994543"/>
    <w:rsid w:val="009B35EA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76833"/>
    <w:rsid w:val="00B8379E"/>
    <w:rsid w:val="00B87ADE"/>
    <w:rsid w:val="00B915CC"/>
    <w:rsid w:val="00BA5DDD"/>
    <w:rsid w:val="00BB2692"/>
    <w:rsid w:val="00BB5F6B"/>
    <w:rsid w:val="00BD132D"/>
    <w:rsid w:val="00BE0479"/>
    <w:rsid w:val="00BF1111"/>
    <w:rsid w:val="00BF32E5"/>
    <w:rsid w:val="00C2394E"/>
    <w:rsid w:val="00C23A9A"/>
    <w:rsid w:val="00C26518"/>
    <w:rsid w:val="00C504F2"/>
    <w:rsid w:val="00C7573F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553E5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C039D"/>
    <w:rsid w:val="00EF1321"/>
    <w:rsid w:val="00EF2733"/>
    <w:rsid w:val="00EF385A"/>
    <w:rsid w:val="00EF7C5B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3B3A-56B2-4EB4-8DDF-8976565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2021-11-24T21:37:00Z</cp:lastPrinted>
  <dcterms:created xsi:type="dcterms:W3CDTF">2021-11-24T22:25:00Z</dcterms:created>
  <dcterms:modified xsi:type="dcterms:W3CDTF">2021-11-24T22:25:00Z</dcterms:modified>
</cp:coreProperties>
</file>